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557A52AB" w:rsidR="009F7767" w:rsidRPr="009F7767" w:rsidRDefault="00B46D2B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6D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TCSU-L6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6D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Tutor </w:t>
                            </w:r>
                            <w:r w:rsidR="009101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</w:t>
                            </w:r>
                            <w:r w:rsidRPr="00B46D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bservation /</w:t>
                            </w:r>
                            <w:r w:rsidR="008E61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01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Pr="00B46D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eer </w:t>
                            </w:r>
                            <w:r w:rsidR="009101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B46D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eedback </w:t>
                            </w:r>
                            <w:r w:rsidR="009101B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B46D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heet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557A52AB" w:rsidR="009F7767" w:rsidRPr="009F7767" w:rsidRDefault="00B46D2B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6D2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TCSU-L6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B46D2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Tutor </w:t>
                      </w:r>
                      <w:r w:rsidR="009101B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</w:t>
                      </w:r>
                      <w:r w:rsidRPr="00B46D2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bservation /</w:t>
                      </w:r>
                      <w:r w:rsidR="008E614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9101B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Pr="00B46D2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eer </w:t>
                      </w:r>
                      <w:r w:rsidR="009101B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B46D2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eedback </w:t>
                      </w:r>
                      <w:r w:rsidR="009101B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B46D2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heet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46A7BC54" w14:textId="21EE2129" w:rsidR="00B46D2B" w:rsidRPr="00B46D2B" w:rsidRDefault="00B46D2B" w:rsidP="00B46D2B">
      <w:pPr>
        <w:tabs>
          <w:tab w:val="right" w:leader="dot" w:pos="6804"/>
        </w:tabs>
        <w:spacing w:before="240" w:after="180"/>
        <w:rPr>
          <w:rFonts w:asciiTheme="minorHAnsi" w:hAnsiTheme="minorHAnsi" w:cstheme="minorHAnsi"/>
          <w:bCs/>
          <w:color w:val="000000"/>
          <w:lang w:eastAsia="en-US"/>
        </w:rPr>
      </w:pPr>
      <w:r w:rsidRPr="00B46D2B">
        <w:rPr>
          <w:rFonts w:asciiTheme="minorHAnsi" w:hAnsiTheme="minorHAnsi" w:cstheme="minorHAnsi"/>
          <w:bCs/>
          <w:color w:val="000000"/>
          <w:lang w:eastAsia="en-US"/>
        </w:rPr>
        <w:t>Trainee Supervisor:                                                                                             Date:</w:t>
      </w:r>
    </w:p>
    <w:p w14:paraId="2BF0C233" w14:textId="746610CD" w:rsidR="00B46D2B" w:rsidRPr="00B46D2B" w:rsidRDefault="00B46D2B" w:rsidP="00B46D2B">
      <w:pPr>
        <w:tabs>
          <w:tab w:val="right" w:leader="dot" w:pos="6804"/>
        </w:tabs>
        <w:spacing w:before="480" w:after="180"/>
        <w:rPr>
          <w:rFonts w:asciiTheme="minorHAnsi" w:hAnsiTheme="minorHAnsi" w:cstheme="minorHAnsi"/>
          <w:bCs/>
          <w:color w:val="000000"/>
          <w:lang w:val="en-US" w:eastAsia="en-US"/>
        </w:rPr>
      </w:pPr>
      <w:r w:rsidRPr="00B46D2B">
        <w:rPr>
          <w:rFonts w:asciiTheme="minorHAnsi" w:hAnsiTheme="minorHAnsi" w:cstheme="minorHAnsi"/>
          <w:bCs/>
          <w:color w:val="000000"/>
          <w:lang w:eastAsia="en-US"/>
        </w:rPr>
        <w:t>Observer (Tutor or peer):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664"/>
        <w:gridCol w:w="1701"/>
      </w:tblGrid>
      <w:tr w:rsidR="00B46D2B" w:rsidRPr="00B46D2B" w14:paraId="218850ED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E56F6A4" w14:textId="77777777" w:rsidR="00B46D2B" w:rsidRPr="00B46D2B" w:rsidRDefault="00B46D2B" w:rsidP="00B46D2B">
            <w:pPr>
              <w:keepNext/>
              <w:spacing w:before="60" w:after="60"/>
              <w:outlineLvl w:val="5"/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B46D2B">
              <w:rPr>
                <w:rFonts w:asciiTheme="minorHAnsi" w:hAnsiTheme="minorHAnsi" w:cstheme="minorHAnsi"/>
                <w:b/>
                <w:color w:val="3B3838" w:themeColor="background2" w:themeShade="40"/>
                <w:sz w:val="20"/>
                <w:szCs w:val="20"/>
                <w:lang w:eastAsia="en-US"/>
              </w:rPr>
              <w:t>Learning outcome</w:t>
            </w: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7940E2CB" w14:textId="77777777" w:rsidR="00B46D2B" w:rsidRPr="00B46D2B" w:rsidRDefault="00B46D2B" w:rsidP="00B46D2B">
            <w:pPr>
              <w:keepNext/>
              <w:spacing w:before="60" w:after="60"/>
              <w:outlineLvl w:val="3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B46D2B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0"/>
                <w:szCs w:val="20"/>
                <w:lang w:eastAsia="en-US"/>
              </w:rPr>
              <w:t>Assessment criteria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9497131" w14:textId="77777777" w:rsidR="00B46D2B" w:rsidRPr="00B46D2B" w:rsidRDefault="00B46D2B" w:rsidP="00B46D2B">
            <w:pPr>
              <w:keepNext/>
              <w:spacing w:after="60"/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  <w:sz w:val="20"/>
                <w:szCs w:val="20"/>
                <w:lang w:eastAsia="en-US"/>
              </w:rPr>
            </w:pPr>
            <w:r w:rsidRPr="00B46D2B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0"/>
                <w:szCs w:val="20"/>
                <w:lang w:eastAsia="en-US"/>
              </w:rPr>
              <w:t>Proficient/Not Proficient and comments</w:t>
            </w:r>
          </w:p>
        </w:tc>
      </w:tr>
      <w:tr w:rsidR="00B46D2B" w:rsidRPr="00B46D2B" w14:paraId="5523903C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5954BB3" w14:textId="77777777" w:rsidR="00B46D2B" w:rsidRPr="00B46D2B" w:rsidRDefault="00B46D2B" w:rsidP="00B46D2B">
            <w:pPr>
              <w:spacing w:before="100" w:after="100"/>
              <w:ind w:left="252" w:hanging="18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1. Model and supervise the professional framework</w:t>
            </w: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B85BCF6" w14:textId="77777777" w:rsidR="00B46D2B" w:rsidRPr="00B46D2B" w:rsidRDefault="00B46D2B" w:rsidP="00B46D2B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1.1 Work within an ethical and legal framework for supervision</w:t>
            </w:r>
          </w:p>
          <w:p w14:paraId="64AF0647" w14:textId="77777777" w:rsidR="00B46D2B" w:rsidRPr="00B46D2B" w:rsidRDefault="00B46D2B" w:rsidP="00B46D2B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1.2 Work within own limits of proficiency</w:t>
            </w:r>
          </w:p>
          <w:p w14:paraId="2990B4A0" w14:textId="77777777" w:rsidR="00B46D2B" w:rsidRPr="00B46D2B" w:rsidRDefault="00B46D2B" w:rsidP="00B46D2B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1.4 Support and challenge counsellors to:</w:t>
            </w:r>
          </w:p>
          <w:p w14:paraId="2F6E2801" w14:textId="77777777" w:rsidR="00B46D2B" w:rsidRPr="00B46D2B" w:rsidRDefault="00B46D2B" w:rsidP="00B46D2B">
            <w:pPr>
              <w:numPr>
                <w:ilvl w:val="0"/>
                <w:numId w:val="1"/>
              </w:numPr>
              <w:tabs>
                <w:tab w:val="num" w:pos="462"/>
              </w:tabs>
              <w:ind w:hanging="541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work within an ethical and legal framework</w:t>
            </w:r>
          </w:p>
          <w:p w14:paraId="30018BF3" w14:textId="77777777" w:rsidR="00B46D2B" w:rsidRPr="00B46D2B" w:rsidRDefault="00B46D2B" w:rsidP="00B46D2B">
            <w:pPr>
              <w:numPr>
                <w:ilvl w:val="0"/>
                <w:numId w:val="1"/>
              </w:numPr>
              <w:tabs>
                <w:tab w:val="num" w:pos="462"/>
              </w:tabs>
              <w:ind w:hanging="541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work within their limits of proficiency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662BE19" w14:textId="77777777" w:rsidR="00B46D2B" w:rsidRP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B46D2B" w:rsidRPr="00B46D2B" w14:paraId="24E9586E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0612EC1" w14:textId="77777777" w:rsidR="00B46D2B" w:rsidRPr="00B46D2B" w:rsidRDefault="00B46D2B" w:rsidP="00B46D2B">
            <w:pPr>
              <w:spacing w:before="100" w:after="100"/>
              <w:ind w:left="252" w:hanging="18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2. Model and supervise the skilled use of the relationship</w:t>
            </w:r>
          </w:p>
          <w:p w14:paraId="3B4B7D9A" w14:textId="77777777" w:rsidR="00B46D2B" w:rsidRPr="00B46D2B" w:rsidRDefault="00B46D2B" w:rsidP="00B46D2B">
            <w:pPr>
              <w:spacing w:before="100" w:after="100"/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A1E4E77" w14:textId="77777777" w:rsidR="00B46D2B" w:rsidRPr="00B46D2B" w:rsidRDefault="00B46D2B" w:rsidP="00B46D2B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2.1 Establish and sustain the boundaries of the supervision relationship</w:t>
            </w:r>
          </w:p>
          <w:p w14:paraId="57B51D0C" w14:textId="77777777" w:rsidR="00B46D2B" w:rsidRPr="00B46D2B" w:rsidRDefault="00B46D2B" w:rsidP="00B46D2B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2.2 Manage the stages of the supervision relationship</w:t>
            </w:r>
          </w:p>
          <w:p w14:paraId="5A282BD3" w14:textId="77777777" w:rsidR="00B46D2B" w:rsidRPr="00B46D2B" w:rsidRDefault="00B46D2B" w:rsidP="00B46D2B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2.4 Support and challenge counsellors to:</w:t>
            </w:r>
          </w:p>
          <w:p w14:paraId="52262F05" w14:textId="77777777" w:rsidR="00B46D2B" w:rsidRPr="00B46D2B" w:rsidRDefault="00B46D2B" w:rsidP="00B46D2B">
            <w:pPr>
              <w:numPr>
                <w:ilvl w:val="0"/>
                <w:numId w:val="2"/>
              </w:numPr>
              <w:tabs>
                <w:tab w:val="num" w:pos="462"/>
              </w:tabs>
              <w:ind w:left="465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establish and sustain the boundaries of the counselling relationship</w:t>
            </w:r>
          </w:p>
          <w:p w14:paraId="1DE6A5D7" w14:textId="77777777" w:rsidR="00B46D2B" w:rsidRPr="00B46D2B" w:rsidRDefault="00B46D2B" w:rsidP="00B46D2B">
            <w:pPr>
              <w:numPr>
                <w:ilvl w:val="0"/>
                <w:numId w:val="2"/>
              </w:numPr>
              <w:tabs>
                <w:tab w:val="num" w:pos="462"/>
              </w:tabs>
              <w:ind w:left="465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manage the stages of the counselling relationship</w:t>
            </w:r>
          </w:p>
          <w:p w14:paraId="3474E679" w14:textId="77777777" w:rsidR="00B46D2B" w:rsidRPr="00B46D2B" w:rsidRDefault="00B46D2B" w:rsidP="00B46D2B">
            <w:pPr>
              <w:numPr>
                <w:ilvl w:val="0"/>
                <w:numId w:val="2"/>
              </w:numPr>
              <w:tabs>
                <w:tab w:val="left" w:pos="462"/>
              </w:tabs>
              <w:ind w:left="465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use theory, research and skills to enhance the therapeutic relationship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3BA80BC" w14:textId="77777777" w:rsidR="00B46D2B" w:rsidRPr="00B46D2B" w:rsidRDefault="00B46D2B" w:rsidP="00B46D2B">
            <w:pPr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B46D2B">
              <w:rPr>
                <w:rFonts w:asciiTheme="minorHAnsi" w:hAnsiTheme="minorHAnsi" w:cstheme="minorHAnsi"/>
                <w:color w:val="3B3838" w:themeColor="background2" w:themeShade="4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46D2B" w:rsidRPr="00B46D2B" w14:paraId="132D6A7B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6F24D47" w14:textId="77777777" w:rsidR="00B46D2B" w:rsidRPr="00B46D2B" w:rsidRDefault="00B46D2B" w:rsidP="00B46D2B">
            <w:pPr>
              <w:spacing w:before="100" w:after="100"/>
              <w:ind w:left="252" w:hanging="18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3. Model and supervise the use of theory and research on diversity</w:t>
            </w: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88B640D" w14:textId="77777777" w:rsidR="00B46D2B" w:rsidRPr="00B46D2B" w:rsidRDefault="00B46D2B" w:rsidP="00D60B99">
            <w:pPr>
              <w:ind w:left="432" w:hanging="36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3.2 Support and challenge counsellors to:</w:t>
            </w:r>
          </w:p>
          <w:p w14:paraId="568A1698" w14:textId="77777777" w:rsidR="00B46D2B" w:rsidRPr="00B46D2B" w:rsidRDefault="00B46D2B" w:rsidP="00B46D2B">
            <w:pPr>
              <w:numPr>
                <w:ilvl w:val="0"/>
                <w:numId w:val="2"/>
              </w:numPr>
              <w:tabs>
                <w:tab w:val="left" w:pos="462"/>
              </w:tabs>
              <w:ind w:left="462" w:hanging="283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explore and challenge personal issues, fears and prejudices concerning working with diversity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A91B730" w14:textId="77777777" w:rsidR="00B46D2B" w:rsidRP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B46D2B" w:rsidRPr="00B46D2B" w14:paraId="41639B22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05AB372" w14:textId="77777777" w:rsidR="00B46D2B" w:rsidRPr="00B46D2B" w:rsidRDefault="00B46D2B" w:rsidP="00B46D2B">
            <w:pPr>
              <w:spacing w:before="100" w:after="100"/>
              <w:ind w:left="252" w:hanging="18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4. Model and supervise a user-centred approach to the work</w:t>
            </w:r>
          </w:p>
          <w:p w14:paraId="42A2F02F" w14:textId="77777777" w:rsidR="00B46D2B" w:rsidRPr="00B46D2B" w:rsidRDefault="00B46D2B" w:rsidP="00B46D2B">
            <w:pPr>
              <w:spacing w:before="100" w:after="100"/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 xml:space="preserve">    </w:t>
            </w: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FE517C2" w14:textId="77777777" w:rsidR="00B46D2B" w:rsidRPr="00B46D2B" w:rsidRDefault="00B46D2B" w:rsidP="00B46D2B">
            <w:pPr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 xml:space="preserve">4.1 Negotiate an agreement for supervision that meets the counsellor’s needs </w:t>
            </w:r>
          </w:p>
          <w:p w14:paraId="12CD61C5" w14:textId="77777777" w:rsidR="00B46D2B" w:rsidRPr="00B46D2B" w:rsidRDefault="00B46D2B" w:rsidP="00B46D2B">
            <w:pPr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4.3 Support and challenge counsellors to:</w:t>
            </w:r>
          </w:p>
          <w:p w14:paraId="6C2C7271" w14:textId="77777777" w:rsidR="00B46D2B" w:rsidRPr="00B46D2B" w:rsidRDefault="00B46D2B" w:rsidP="00B46D2B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use a coherent assessment strategy that meets the client’s needs</w:t>
            </w:r>
          </w:p>
          <w:p w14:paraId="002F5BE1" w14:textId="77777777" w:rsidR="00B46D2B" w:rsidRPr="00B46D2B" w:rsidRDefault="00B46D2B" w:rsidP="00B46D2B">
            <w:pPr>
              <w:numPr>
                <w:ilvl w:val="0"/>
                <w:numId w:val="3"/>
              </w:numPr>
              <w:tabs>
                <w:tab w:val="num" w:pos="426"/>
              </w:tabs>
              <w:ind w:hanging="121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work within a user-centred agreement</w:t>
            </w:r>
          </w:p>
          <w:p w14:paraId="33E47FE9" w14:textId="77777777" w:rsidR="00B46D2B" w:rsidRPr="00B46D2B" w:rsidRDefault="00B46D2B" w:rsidP="00B46D2B">
            <w:pPr>
              <w:numPr>
                <w:ilvl w:val="0"/>
                <w:numId w:val="3"/>
              </w:numPr>
              <w:tabs>
                <w:tab w:val="num" w:pos="426"/>
              </w:tabs>
              <w:ind w:left="426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maintain a user-centred focus throughout the counselling work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00BD7D3" w14:textId="77777777" w:rsidR="00B46D2B" w:rsidRP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B46D2B" w:rsidRPr="00B46D2B" w14:paraId="46DE0EE6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5434D42" w14:textId="77777777" w:rsidR="00B46D2B" w:rsidRPr="00B46D2B" w:rsidRDefault="00B46D2B" w:rsidP="00B46D2B">
            <w:pPr>
              <w:spacing w:before="100" w:after="100"/>
              <w:ind w:left="252" w:hanging="18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6. Model and supervise the coherent use of theory, research and skills</w:t>
            </w: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1F791A7" w14:textId="77777777" w:rsidR="00B46D2B" w:rsidRPr="00B46D2B" w:rsidRDefault="00B46D2B" w:rsidP="00B46D2B">
            <w:pPr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6.2 Use a coherent theoretical framework within supervision work</w:t>
            </w:r>
          </w:p>
          <w:p w14:paraId="319B81BF" w14:textId="77777777" w:rsidR="00B46D2B" w:rsidRPr="00B46D2B" w:rsidRDefault="00B46D2B" w:rsidP="00B46D2B">
            <w:pPr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6.4 Use supervision skills and techniques associated with own theoretical approach to enhance supervision work</w:t>
            </w:r>
          </w:p>
          <w:p w14:paraId="35CD3A34" w14:textId="77777777" w:rsidR="00B46D2B" w:rsidRPr="00B46D2B" w:rsidRDefault="00B46D2B" w:rsidP="00B46D2B">
            <w:pPr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6.5 Support and challenge counsellors to:</w:t>
            </w:r>
          </w:p>
          <w:p w14:paraId="1D3EB11D" w14:textId="77777777" w:rsidR="00B46D2B" w:rsidRPr="00B46D2B" w:rsidRDefault="00B46D2B" w:rsidP="00B46D2B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work within a coherent framework of theory and skills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91D5F4F" w14:textId="77777777" w:rsidR="00B46D2B" w:rsidRP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B46D2B" w:rsidRPr="00B46D2B" w14:paraId="196B0B3A" w14:textId="77777777" w:rsidTr="00B46D2B">
        <w:trPr>
          <w:cantSplit/>
        </w:trPr>
        <w:tc>
          <w:tcPr>
            <w:tcW w:w="2700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FEE660B" w14:textId="77777777" w:rsidR="00B46D2B" w:rsidRPr="00B46D2B" w:rsidRDefault="00B46D2B" w:rsidP="00B46D2B">
            <w:pPr>
              <w:spacing w:before="100" w:after="100"/>
              <w:ind w:left="252" w:hanging="180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7. Model and supervise the self-reflective practitioner</w:t>
            </w:r>
          </w:p>
          <w:p w14:paraId="07CDA1B2" w14:textId="77777777" w:rsidR="00B46D2B" w:rsidRPr="00B46D2B" w:rsidRDefault="00B46D2B" w:rsidP="00B46D2B">
            <w:pPr>
              <w:spacing w:before="100" w:after="100"/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6C0DA24" w14:textId="77777777" w:rsidR="00B46D2B" w:rsidRPr="00B46D2B" w:rsidRDefault="00B46D2B" w:rsidP="00B46D2B">
            <w:pPr>
              <w:ind w:left="419" w:hanging="34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7.4 Support counsellors to:</w:t>
            </w:r>
          </w:p>
          <w:p w14:paraId="5F7D84EC" w14:textId="77777777" w:rsidR="00B46D2B" w:rsidRPr="00B46D2B" w:rsidRDefault="00B46D2B" w:rsidP="00B46D2B">
            <w:pPr>
              <w:numPr>
                <w:ilvl w:val="0"/>
                <w:numId w:val="4"/>
              </w:numPr>
              <w:tabs>
                <w:tab w:val="num" w:pos="426"/>
              </w:tabs>
              <w:ind w:left="426" w:hanging="284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reflect on and evaluate their counselling practice</w:t>
            </w:r>
          </w:p>
          <w:p w14:paraId="6D6136A9" w14:textId="77777777" w:rsidR="00B46D2B" w:rsidRPr="00B46D2B" w:rsidRDefault="00B46D2B" w:rsidP="00B46D2B">
            <w:pPr>
              <w:numPr>
                <w:ilvl w:val="0"/>
                <w:numId w:val="4"/>
              </w:numPr>
              <w:tabs>
                <w:tab w:val="num" w:pos="426"/>
              </w:tabs>
              <w:ind w:hanging="121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develop their use of supervision</w:t>
            </w:r>
          </w:p>
          <w:p w14:paraId="457AE4EF" w14:textId="77777777" w:rsidR="00B46D2B" w:rsidRPr="00B46D2B" w:rsidRDefault="00B46D2B" w:rsidP="00B46D2B">
            <w:pPr>
              <w:numPr>
                <w:ilvl w:val="0"/>
                <w:numId w:val="4"/>
              </w:numPr>
              <w:tabs>
                <w:tab w:val="num" w:pos="426"/>
              </w:tabs>
              <w:ind w:hanging="1217"/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</w:pPr>
            <w:r w:rsidRPr="00B46D2B">
              <w:rPr>
                <w:rFonts w:asciiTheme="minorHAnsi" w:eastAsia="ヒラギノ角ゴ Pro W3" w:hAnsiTheme="minorHAnsi" w:cstheme="minorHAnsi"/>
                <w:color w:val="3B3838" w:themeColor="background2" w:themeShade="40"/>
                <w:sz w:val="20"/>
                <w:szCs w:val="20"/>
              </w:rPr>
              <w:t>manage their professional development</w:t>
            </w:r>
          </w:p>
        </w:tc>
        <w:tc>
          <w:tcPr>
            <w:tcW w:w="170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6AD8243" w14:textId="77777777" w:rsidR="00B46D2B" w:rsidRP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B46D2B" w:rsidRPr="00B46D2B" w14:paraId="0990AB61" w14:textId="77777777" w:rsidTr="00B46D2B">
        <w:trPr>
          <w:cantSplit/>
        </w:trPr>
        <w:tc>
          <w:tcPr>
            <w:tcW w:w="10065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6C525BF" w14:textId="77777777" w:rsid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46D2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Comments:</w:t>
            </w:r>
          </w:p>
          <w:p w14:paraId="48E1489F" w14:textId="77777777" w:rsid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5892657" w14:textId="4445E7FA" w:rsidR="00B46D2B" w:rsidRPr="00B46D2B" w:rsidRDefault="00B46D2B" w:rsidP="00B46D2B">
            <w:pPr>
              <w:spacing w:before="120" w:after="12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14:paraId="4A577F33" w14:textId="16A75865" w:rsidR="00B46D2B" w:rsidRPr="00B46D2B" w:rsidRDefault="00B46D2B" w:rsidP="00B46D2B">
      <w:pPr>
        <w:tabs>
          <w:tab w:val="right" w:leader="dot" w:pos="5529"/>
        </w:tabs>
        <w:spacing w:before="36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B46D2B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Observer signature: </w:t>
      </w:r>
    </w:p>
    <w:p w14:paraId="1AB396E4" w14:textId="77777777" w:rsidR="006A57CD" w:rsidRPr="006A57CD" w:rsidRDefault="006A57CD" w:rsidP="006A57CD"/>
    <w:sectPr w:rsidR="006A57CD" w:rsidRPr="006A57CD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0353" w14:textId="77777777" w:rsidR="00AE3721" w:rsidRDefault="00AE3721" w:rsidP="0040055F">
      <w:r>
        <w:separator/>
      </w:r>
    </w:p>
  </w:endnote>
  <w:endnote w:type="continuationSeparator" w:id="0">
    <w:p w14:paraId="6BBCF8F2" w14:textId="77777777" w:rsidR="00AE3721" w:rsidRDefault="00AE3721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733B" w14:textId="77777777" w:rsidR="00AE3721" w:rsidRDefault="00AE3721" w:rsidP="0040055F">
      <w:r>
        <w:separator/>
      </w:r>
    </w:p>
  </w:footnote>
  <w:footnote w:type="continuationSeparator" w:id="0">
    <w:p w14:paraId="37F3D25B" w14:textId="77777777" w:rsidR="00AE3721" w:rsidRDefault="00AE3721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E4F"/>
    <w:multiLevelType w:val="hybridMultilevel"/>
    <w:tmpl w:val="3DEE1D5E"/>
    <w:lvl w:ilvl="0" w:tplc="556CA696">
      <w:start w:val="1"/>
      <w:numFmt w:val="bullet"/>
      <w:lvlText w:val=""/>
      <w:lvlJc w:val="left"/>
      <w:pPr>
        <w:tabs>
          <w:tab w:val="num" w:pos="1359"/>
        </w:tabs>
        <w:ind w:left="1359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512B1FB6"/>
    <w:multiLevelType w:val="hybridMultilevel"/>
    <w:tmpl w:val="A100F64A"/>
    <w:lvl w:ilvl="0" w:tplc="556CA6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3087"/>
    <w:multiLevelType w:val="hybridMultilevel"/>
    <w:tmpl w:val="641CEBAC"/>
    <w:lvl w:ilvl="0" w:tplc="556CA696">
      <w:start w:val="1"/>
      <w:numFmt w:val="bullet"/>
      <w:lvlText w:val=""/>
      <w:lvlJc w:val="left"/>
      <w:pPr>
        <w:tabs>
          <w:tab w:val="num" w:pos="1359"/>
        </w:tabs>
        <w:ind w:left="1359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6D8F4B1E"/>
    <w:multiLevelType w:val="hybridMultilevel"/>
    <w:tmpl w:val="A508A346"/>
    <w:lvl w:ilvl="0" w:tplc="556CA696">
      <w:start w:val="1"/>
      <w:numFmt w:val="bullet"/>
      <w:lvlText w:val=""/>
      <w:lvlJc w:val="left"/>
      <w:pPr>
        <w:tabs>
          <w:tab w:val="num" w:pos="1359"/>
        </w:tabs>
        <w:ind w:left="1359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num w:numId="1" w16cid:durableId="192496180">
    <w:abstractNumId w:val="1"/>
  </w:num>
  <w:num w:numId="2" w16cid:durableId="1951351372">
    <w:abstractNumId w:val="0"/>
  </w:num>
  <w:num w:numId="3" w16cid:durableId="1090158443">
    <w:abstractNumId w:val="2"/>
  </w:num>
  <w:num w:numId="4" w16cid:durableId="157400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80B65"/>
    <w:rsid w:val="002F4B34"/>
    <w:rsid w:val="0040055F"/>
    <w:rsid w:val="004F7C32"/>
    <w:rsid w:val="005A711D"/>
    <w:rsid w:val="00656EED"/>
    <w:rsid w:val="006A57CD"/>
    <w:rsid w:val="008E614F"/>
    <w:rsid w:val="009101B6"/>
    <w:rsid w:val="00947EBB"/>
    <w:rsid w:val="009F7767"/>
    <w:rsid w:val="00AE3721"/>
    <w:rsid w:val="00B46D2B"/>
    <w:rsid w:val="00C104A1"/>
    <w:rsid w:val="00C3393D"/>
    <w:rsid w:val="00D60B99"/>
    <w:rsid w:val="00F11A1D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3393D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1C44A-74C5-4786-8AA8-C21E2E371BE4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TCSU-L6 Tutor Observation-Peer Feedback Sheet</dc:title>
  <dc:subject/>
  <dc:creator>Jackie Rice</dc:creator>
  <cp:keywords/>
  <dc:description/>
  <cp:lastModifiedBy>Natalie Burford</cp:lastModifiedBy>
  <cp:revision>4</cp:revision>
  <cp:lastPrinted>2020-07-06T10:11:00Z</cp:lastPrinted>
  <dcterms:created xsi:type="dcterms:W3CDTF">2021-08-12T18:21:00Z</dcterms:created>
  <dcterms:modified xsi:type="dcterms:W3CDTF">2022-09-06T13:32:00Z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